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Payment Experience Service</w:t>
      </w:r>
      <w:r w:rsidRPr="0036636B">
        <w:rPr>
          <w:rFonts w:eastAsia="Segoe UI" w:cs="Segoe UI"/>
        </w:rPr>
        <w:t xml:space="preserve"> / </w:t>
      </w:r>
      <w:proofErr w:type="spellStart"/>
      <w:proofErr w:type="gramEnd"/>
      <w:proofErr w:type="spellEnd"/>
      <w:r>
        <w:rPr>
          <w:rFonts w:eastAsia="Segoe UI" w:cs="Segoe UI"/>
        </w:rPr>
        <w:t>Continuous release</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February 24, 2026</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Payment experience service is the main resource which drives the render of PIDL SDK on the client side and also helps with the orchestration of other services based on the scenarios.</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r>
              <w:rPr>
                <w:rFonts w:cs="Segoe UI"/>
              </w:rPr>
              <w:t>There is no descriptive error suggestion provided for the phone number under add a new shipping address.</w:t>
            </w: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2026</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