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GraphQL - Fabric Product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Fabric API for GraphQL brings this powerful standard to the Fabric ecosystem as a data access layer that lets you query multiple data sources quickly and efficiently. The API abstracts the specifics of backend data sources so you focus on your application's logic and provide all the data a client needs in a single call. With its simple query language and efficient result set manipulation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Labels for certain controls may not be programmatically associated, which can affect identification by assistive technologies.  
- Some information may not be announced by screen readers when keyboard focus moves to combo boxes, impacting clarity of content structure.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All interactive elements, including info buttons and tooltips within the "Authorize with user data functions" pane, can be accessed and operated using the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button labeled "start with sample SQL database" has a visual label that differs from its programmatic name, which may affect how it is identified by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Most user interface components, including buttons, links, menu items, and input fields, have accessible names and roles that can be programmatically determined. Labels are provided for form elements and controls, ensuring clear identification. Some controls, such as toggle buttons and certain action buttons, may have labeling that could be improved to better convey their purpose to assistive technologies. Overall, the product supports accessible naming and role information for effective navigation.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The product ensures that text and images of text maintain sufficient contrast against their backgrounds to support readability and meet recognized accessibility standards.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under the Authorization (preview) section may require horizontal or vertical scrolling at smaller viewport sizes, which could affect ease of viewing all information without additional navigation.</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Adjusting column header widths in the default pane currently requires dragging; alternative single-pointer methods are not available.</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Success and error messages after running a query may not be automatically announced by screen readers.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