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SIPS Cathi Collections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TI Data collection and insight generation. Supporting products like MDEASM, MDTI, MSP.</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Some information, structure, or relationships may not be fully conveyed in a way that assistive technologies can interpret, which could affect understanding of content organization.
Landmarks are not defined on page.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Some users may experience challenges in quickly navigating through repeated content or accessing grouped controls efficiently using keyboard navigation.</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Luminosity contrast ratio is less than required 4.5:1 for some text.</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