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Demeter-CommerceApi</w:t>
      </w:r>
      <w:r w:rsidRPr="0036636B">
        <w:rPr>
          <w:rFonts w:eastAsia="Segoe UI" w:cs="Segoe UI"/>
        </w:rPr>
        <w:t xml:space="preserve"> / </w:t>
      </w:r>
      <w:r>
        <w:rPr>
          <w:rFonts w:eastAsia="Segoe UI" w:cs="Segoe UI"/>
        </w:rPr>
        <w:t>1.0.20250520.7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62C9F23B"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Sales and partners create proposals (quotes) for enterprise customers that contain products, discounts, and terms. These proposals are presented to the customer. This website is how those proposals are presented to the customer and where the customer can accept the proposal and related agreements.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Ensure elements have alternative text or a role of none or presentation (.ms-Image-image--portrait)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Ensure elements with an ARIA role that require child roles contain them (.line-items-container)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Ensure buttons have discernible text (.ms-Button--icon)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Ensure the contrast between foreground and background colors meets WCAG 2 AA minimum contrast ratio thresholds (span)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863"/>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6F22"/>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5231"/>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0F8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44646C-5F01-441B-9FEA-E4F60859886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2593</Words>
  <Characters>14784</Characters>
  <Application>Microsoft Office Word</Application>
  <DocSecurity>8</DocSecurity>
  <Lines>123</Lines>
  <Paragraphs>34</Paragraphs>
  <ScaleCrop>false</ScaleCrop>
  <Company/>
  <LinksUpToDate>false</LinksUpToDate>
  <CharactersWithSpaces>17343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2025-06-13T17:39:00Z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