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Foundry</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Foundry is a unified Azure platform-as-a-service offering for enterprise AI operations, model builders, and application development. This foundation combines production-grade infrastructure with friendly interfaces, enabling developers to focus on building applications rather than managing infrastructure.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Some non‑text content does not have accurate or appropriate text alternatives. In certain cases, images and icons use incorrect or misleading alternative text, which may result in screen reader users receiving inaccurate information.</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Programmatic structure and relationships are not consistently conveyed. Several visual headings, group labels, table relationships, and section titles are not programmatically defined or correctly associated with their related content, impacting semantic understanding for assistive technologies.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 Some instructions rely on visual cues without additional text or programmatic descriptions, which may affect users who do not perceive visual information.</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interactive controls, charts, graphs, and informational icons are not fully operable using the keyboard alone, limiting access for keyboard‑only users.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r>
              <w:rPr>
                <w:rFonts w:cs="Segoe UI"/>
              </w:rPr>
              <w:t>Some pages or views do not contain a meaningful, non‑empty page title, which may affect navigation and orientation for screen reader users.</w:t>
            </w: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order is not always logical, and focus does not consistently return to the triggering control after dialogs, panels, or overlays are closed.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In some cases, the accessible name of controls does not match the visible label, which may affect users of speech recognition software.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Several form controls, combo boxes, and input fields lack programmatically associated labels or clear instructions, making it difficult for assistive technology users to understand their purpose.</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Accessible names, roles, or values are missing or not correctly exposed for multiple form controls, buttons, and interactive elements, affecting assistive technology interoperability.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such as status messages and labels in various sections have contrast ratios below 4.5:1, which may affect readability.</w:t>
            </w:r>
            <w:r>
              <w:rPr>
                <w:rFonts w:cs="Segoe UI"/>
              </w:rPr>
              <w:br/>
            </w:r>
            <w:r>
              <w:rPr>
                <w:rFonts w:cs="Segoe UI"/>
              </w:rPr>
              <w:t>- Some interface elements, including buttons and links, have lower contrast in certain themes, making them less distinguishable.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When text is resized (e.g., 200% zoom), some content becomes truncated, overlapped, or loses focus context, which may impact usability for users who rely on text resizing.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small viewport sizes (e.g., 320×256) or high zoom levels, content does not consistently reflow. Dialog content, tables, and action buttons may be truncated or overlapped.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Focus indicators and non‑text UI components do not consistently meet required contrast ratios, particularly in dark or high‑contrast themes.</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Dynamic status messages, updates, and error notifications are not consistently announced to assistive technologies, which may prevent users from being aware of important changes.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