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27,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SharePoint Syntex</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SharePoint Syntex uses advanced AI and machine teaching to amplify human expertise, automate content processing, and transform content into knowledge. It is available as a user-based add-on for Microsoft 365 plans and is generally available to Microsoft 365 commercial customers.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D098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D098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D098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D098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D098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 With Exceptions</w:t>
            </w:r>
          </w:p>
        </w:tc>
        <w:tc>
          <w:tcPr>
            <w:tcW w:w="3757" w:type="dxa"/>
            <w:gridSpan w:val="2"/>
          </w:tcPr>
          <w:p w14:paraId="6DA937FE" w14:textId="37BF93FB" w:rsidR="009B5FA0" w:rsidRDefault="009B5FA0" w:rsidP="00265F48">
            <w:r>
              <w:t>Text elements may get truncated or overlapped after applying text spacing on the page.</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w:t>
            </w:r>
            <w:r w:rsidRPr="00780DAA">
              <w:rPr>
                <w:rFonts w:cs="Segoe UI"/>
                <w:szCs w:val="20"/>
              </w:rPr>
              <w:lastRenderedPageBreak/>
              <w:t>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w:t>
            </w:r>
            <w:r w:rsidRPr="00780DAA">
              <w:rPr>
                <w:rFonts w:cs="Segoe UI"/>
                <w:szCs w:val="20"/>
              </w:rPr>
              <w:lastRenderedPageBreak/>
              <w:t>of operation where the keyboard focus indicator is visible.</w:t>
            </w:r>
          </w:p>
        </w:tc>
        <w:tc>
          <w:tcPr>
            <w:tcW w:w="3037" w:type="dxa"/>
          </w:tcPr>
          <w:p w14:paraId="2F56C7D2" w14:textId="421D8015" w:rsidR="00F46FD2" w:rsidRDefault="00F46FD2" w:rsidP="00F46FD2">
            <w:r>
              <w:lastRenderedPageBreak/>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 With Exceptions</w:t>
            </w:r>
          </w:p>
        </w:tc>
        <w:tc>
          <w:tcPr>
            <w:tcW w:w="3870" w:type="dxa"/>
          </w:tcPr>
          <w:p w14:paraId="1472D52D" w14:textId="2446A82B" w:rsidR="00ED58F4" w:rsidRPr="00780DAA" w:rsidRDefault="00ED58F4" w:rsidP="00265F48">
            <w:pPr>
              <w:rPr>
                <w:rFonts w:cs="Segoe UI"/>
              </w:rPr>
            </w:pPr>
            <w:r>
              <w:t>Visual label for some of the UI elements is not the same defined semantically</w:t>
            </w:r>
            <w:r w:rsidR="00337154">
              <w:t>,</w:t>
            </w:r>
            <w:r>
              <w:t xml:space="preserve"> which differs than visual available label</w:t>
            </w:r>
            <w:r w:rsidR="00337154">
              <w:t>.</w:t>
            </w: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also be operated by user interface components and responding to the </w:t>
            </w:r>
            <w:r w:rsidRPr="00ED58F4">
              <w:rPr>
                <w:rFonts w:cs="Segoe UI"/>
                <w:szCs w:val="20"/>
              </w:rPr>
              <w:lastRenderedPageBreak/>
              <w:t>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w:t>
            </w:r>
            <w:r w:rsidRPr="00780DAA">
              <w:rPr>
                <w:rFonts w:cs="Segoe UI"/>
                <w:szCs w:val="20"/>
              </w:rPr>
              <w:lastRenderedPageBreak/>
              <w:t>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lastRenderedPageBreak/>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they can be presented to the user </w:t>
            </w:r>
            <w:r w:rsidRPr="003F6B76">
              <w:rPr>
                <w:rFonts w:cs="Segoe UI"/>
                <w:szCs w:val="20"/>
              </w:rPr>
              <w:lastRenderedPageBreak/>
              <w:t>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14667444">
    <w:abstractNumId w:val="5"/>
  </w:num>
  <w:num w:numId="2" w16cid:durableId="590507418">
    <w:abstractNumId w:val="0"/>
  </w:num>
  <w:num w:numId="3" w16cid:durableId="515117961">
    <w:abstractNumId w:val="8"/>
  </w:num>
  <w:num w:numId="4" w16cid:durableId="1050149938">
    <w:abstractNumId w:val="9"/>
  </w:num>
  <w:num w:numId="5" w16cid:durableId="2000770602">
    <w:abstractNumId w:val="3"/>
  </w:num>
  <w:num w:numId="6" w16cid:durableId="700320634">
    <w:abstractNumId w:val="7"/>
  </w:num>
  <w:num w:numId="7" w16cid:durableId="2006132443">
    <w:abstractNumId w:val="1"/>
  </w:num>
  <w:num w:numId="8" w16cid:durableId="754059352">
    <w:abstractNumId w:val="4"/>
  </w:num>
  <w:num w:numId="9" w16cid:durableId="2061437890">
    <w:abstractNumId w:val="6"/>
  </w:num>
  <w:num w:numId="10" w16cid:durableId="8639834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37154"/>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098E"/>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5C8C22-6781-41BE-A645-2B10B900C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3141</Words>
  <Characters>17910</Characters>
  <Application>Microsoft Office Word</Application>
  <DocSecurity>8</DocSecurity>
  <Lines>149</Lines>
  <Paragraphs>42</Paragraphs>
  <ScaleCrop>false</ScaleCrop>
  <Company/>
  <LinksUpToDate>false</LinksUpToDate>
  <CharactersWithSpaces>21009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2022-06-28T02:20:00Z</dcterms:created>
  <dcterms:modified xsi:type="dcterms:W3CDTF">2022-06-28T02:21:00Z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