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OneLake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Fabric</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22,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OneLake is a single, unified, logical data lake for your whole organization. Like OneDrive, OneLake comes automatically with every Microsoft Fabric tenant and is designed to be the single place for all your analytics data.</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Accessibility issues include missing programmatic associations between column headers and table cells, and between the “Connect to access data” label and its control. “Summary” and “Preview” appear as headings visually but are not defined as headings programmatically. Additionally, screen readers do not announce tooltip information for workspace controls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Keyboard accessibility issues prevent users from navigating directories, dropdowns, and icons using a keyboard, making key functionalities inaccessible without a mouse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ARIA input fields have accessible names, but screen readers fail to announce the selected state of controls.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The text “Switch account” does not meet the minimum required color contrast ratio of 4.5:1.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At 200% Resize mode, the connection drop down box list items are getting truncated.</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At 400% Reflow mode, the connection drop down box list items are getting truncated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Luminosity ratio for the icons is less than required ratio</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r>
              <w:rPr>
                <w:rFonts w:cs="Segoe UI"/>
              </w:rPr>
              <w:t>After applying the text spacing, the connection drop down box list items are getting truncated.</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r>
              <w:rPr>
                <w:rFonts w:cs="Segoe UI"/>
              </w:rPr>
              <w:t>Incorrect aria label is defined for Filter by keyboard field</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After cancelling the installation, the cancellation notification is not announced by the screen reader</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