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Spark core service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Fabric Spark for DE and DS.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Keyboard navigation supports most features, though some controls such as those under "Environment," the Expand/Collapse buttons in the code section, and stages within the graph area may require additional keyboard accessibility enhancements.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The focus order generally follows the visual layout and functionality of the interface. However, when the "Completed jobs" list is present, the keyboard focus sequence may not proceed as expected, and focus may move to a hidden control on the Spark Application &amp; Job Graph page.</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The default language of each HTML document is specified to support assistive technologies in identifying the content language.</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Some iframe and frame elements currently do not have accessible names.  
- ARIA attributes are supported for defining element roles.  
- The select element includes an accessible name.  
- The playback slider's role and accessible name may not be announced by screen readers.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