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Dynamics 365 Project Operations</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Continuous</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Web</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July 30,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Dynamics 365 Project Operations provides the complete set of capabilities for Project Orientated Business. From Sales, costing, actuals to invoicing and revenue recognition.</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Users can access tables, grids, and input fields using a screen reader. However, standard table navigation commands may not be available in certain tables, navigation within some grids may not follow the expected row and column structure
- Placeholder text for some input fields may not be announced by screen readers.</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Keyboard users can navigate through most interface elements; however, moving from column headers to table cells in the Attach to Expense dialog may require additional steps.</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Keyboard focus can be moved to components within the Cost Budget Lines grid. Users may experience difficulty moving focus away from a selected row using standard keyboard navigation.</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Keyboard navigation is supported throughout task and resource management experiences. However, after the Untitled Task dialog is closed, focus may not return to the invoking control. Additionally, tabbing from the Resource Type field may move focus to an element that is not visible before reaching the next available interactive control.</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The task management experience supports task creation. However, a new task may be created when keyboard focus moves to the Add Task button, rather than when the control is explicitly activated</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The Ask about data search field has an incorrect accessible name, which may confuse screen-reader users.</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The expense management experience provides visual indicators to identify focused and selected items. However, the keyboard focus indicator in the Attach to Expense More menu dropdowns, the selection indicator in the Accounting Distributions tree grid, and the selected value indicator in Expense Report dropdowns may be difficult to distinguish from the surrounding interface.</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