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Migrate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Azure Migrate service assesses on-premises workloads for migration to Azure. The service assesses migration suitability of on-premises machines to Azure, performance-based sizing, and provides cost estimations for running your on-premises machines in Azure. If you're contemplating lift-and-shift migrations, or are in the early assessment stages of migration, this service is for you. After the assessment, you can use services such as Azure Site Recovery and Azure Database Migration Service, to migrate the machines to Azure.
https://docs.microsoft.com/en-us/azure/migrate/migrate-overview</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Screen reader navigation within the 'Appliance registration details' dialog may not follow a meaningful sequence.</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are operable using a keyboard interface.
- Some controls, such as the info icon and its tooltip in the 'Add Credentials' dialog, may require additional keyboard accessibility enhancements.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After closing the 'Add Discovery Source' dialog using the Save button, keyboard focus may not return to the 'Add discovery source' button, affecting the expected navigation flow.</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The text presented visually in labels is closely aligned with the programmatic names used for controls such as validation messages, combo boxes, and input fields, supporting clear identification by assistive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Some input fields, such as the textarea in the 'Add Discovery Source' dialog, may not have visible labels to clearly describe the expected input.</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Expand and collapse controls on the Diagnostics Report page are identified with roles that may not fully reflect their function, which could affect assistive technology interpretation.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Keyboard focus indicators on various controls provide visual cues but may have contrast ratios below the recommended level against their backgrounds in some dialogs and pages.</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Error messages related to certain selections and actions may not be announced automatically by screen readers, requiring users to manually check for updates.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