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Workloads Platform as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Workloads/Business platform as service gives customers a rich first-class experience to create, manage and monitor SAP infrastructure and applications in easy and quick simple set of tasks.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Headings are visually clear and will be enhanced to be programmatically recognized for better navigation.  
- Group labels for radio buttons are visually present and will be improved to be announced by screen readers.  
- Status and chart information are visually displayed and efforts are made to ensure accurate announcements by assistive technologies.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generally supports intuitive navigation by following the visual layout and intended operation of the interface.  
- Certain sections could benefit from improved focus sequencing to better align with the flow and meaning of the content.</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Buttons, form elements, and ARIA input fields include clear and descriptive names.
- Toggle fields and checkboxes provide accessible names for better identification.
- All user interface components expose necessary information to assistive technologies to support effective navigation and interaction.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The keyboard focus indicator on the 'Learn More' link under the 'Basics' tab maintains visibility across themes, including dark mode, supporting user navigation.</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are designed to be programmatically identified and announced by assistive technologies without shifting keyboard focus, enhancing user awareness of important updates.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