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February 10,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Custom Location</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With custom locations you can map your on-premises and other infrastructure environments to Azure. Create and manage virtual machines, operate your infrastructure, and run services like Azure Functions in your own datacenters, all with Azure management tools.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06676C"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06676C"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06676C"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06676C"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06676C"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Supported</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 With Exceptions</w:t>
            </w:r>
          </w:p>
        </w:tc>
        <w:tc>
          <w:tcPr>
            <w:tcW w:w="3870" w:type="dxa"/>
          </w:tcPr>
          <w:p w14:paraId="1DA3AC78" w14:textId="60AD8914" w:rsidR="00DC03E4" w:rsidRPr="00780DAA" w:rsidRDefault="00DC03E4" w:rsidP="00DC03E4">
            <w:pPr>
              <w:rPr>
                <w:rFonts w:cs="Segoe UI"/>
              </w:rPr>
            </w:pPr>
            <w:r>
              <w:t>Some learn more links are not descriptive when read by screenreader and labeled "Click here"</w:t>
            </w: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6676C"/>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5205"/>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3114</Words>
  <Characters>17755</Characters>
  <Application>Microsoft Office Word</Application>
  <DocSecurity>8</DocSecurity>
  <Lines>147</Lines>
  <Paragraphs>41</Paragraphs>
  <ScaleCrop>false</ScaleCrop>
  <Company/>
  <LinksUpToDate>false</LinksUpToDate>
  <CharactersWithSpaces>20828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2021-02-10T20:49:00Z</dcterms:created>
  <dcterms:modified xsi:type="dcterms:W3CDTF">2021-02-10T20:49:00Z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