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Stream Analytics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Stream Analytics is an on-demand real-time analytics service to power intelligent action. It allows easily develop and run massively parallel real-time analytics on multiple IoT or non-IoT streams of data using simple SQL like language.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Some non-text elements may lack descriptive text alternatives, reducing clarity for users who rely on assistive technologies.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In some areas, visual structure and relationships—such as section headings, programmatic grouping, and informational tooltips—are not fully exposed to assistive technologies.</w:t>
            </w:r>
            <w:r>
              <w:rPr>
                <w:rFonts w:cs="Segoe UI"/>
              </w:rPr>
              <w:br/>
            </w:r>
            <w:r>
              <w:rPr>
                <w:rFonts w:cs="Segoe UI"/>
              </w:rPr>
              <w:t>- Certain headings are not programmatically defined.</w:t>
            </w:r>
            <w:r>
              <w:rPr>
                <w:rFonts w:cs="Segoe UI"/>
              </w:rPr>
              <w:br/>
            </w:r>
            <w:r>
              <w:rPr>
                <w:rFonts w:cs="Segoe UI"/>
              </w:rPr>
              <w:t>- Info icons with tooltip content are not consistently announced by screen readers.</w:t>
            </w:r>
            <w:r>
              <w:rPr>
                <w:rFonts w:cs="Segoe UI"/>
              </w:rPr>
              <w:br/>
            </w:r>
            <w:r>
              <w:rPr>
                <w:rFonts w:cs="Segoe UI"/>
              </w:rPr>
              <w:t>These issues may reduce efficiency for screen reader users but do not block core service functionality.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Most interactive elements can be operated using a keyboard without requiring precise timing or multiple keystrokes.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In the Monitoring tab, the Resource utilization chart has a mismatch between the visible label and the programmatic accessible name.</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Some controls do not fully expose programmatic name, role, state, or value to assistive technologies. Examples include icon-only buttons lacking accessible names, expand/collapse controls without defined state, and form elements (e.g., checkboxes) missing associated labels in certain tabs such as Job Simulation Preview, Job Diagram Preview, and Storage. These issues may reduce usability for screen reader users but do not block core service functionality.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Some text elements may have contrast ratios below the recommended levels, which could affect readability for users in certain lighting conditions or with visual challenges.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At 200% zoom, table data in the Input Preview experience (Test results tabs) may not remain visible without loss of information, affecting readability for users who rely on text resizing.</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At a 320 × 256 viewport size, controls in the Event Hub blade toolbar are truncated and not fully visible, requiring horizontal scrolling. Core functionality remains available.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indicators may not be clearly visible on some interactive elements, making it harder for users to identify the current point of focus.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In some workflows, status messages are not programmatically announced to screen readers. Examples include unannounced error feedback after invoking Delete in the Overview blade and unannounced informational messages after selecting Provide event hub settings manually in Event Hub configuration.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