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Royalties Calc and Exp </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8,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Royalties Portal to manage contract setup, view royalties, and download statements.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Portions of this website may not have alt text for all icons.  Screen reader or low vision users may find it difficult to perceive the information.</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Not all tables may have column headers.  Screen reader users may find it difficult to navigate in tables.</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Portions of this website use color contrast ratios which is less than 3:1 between read only text and links, and for different statuses.  It may be difficult for low vision users and users with color blindness to easily differentiate between read only text and links and different statuses.</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Some icons on this website may not have tooltips.  Screen reader, low vision, and color-blind users may find it difficult to identify the information when no label/tooltip is provided on keyboard focus and mouse hover on the info.</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Does Not Support</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This website does not support Bypass Blocks which may make it difficult for some users to navigate quickly.</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Required fields on forms may be missing instructions.  Screen reader users might miss the mandatory fields when instruction for filling them are not provided or if the screen reader does not announce it as mandatory field on receiving keyboard focus.</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Drop down menus and active selections have low contrast.  It may be difficult for low vision users to differentiate list items with the data of table present in the background and determine which items are active selections.</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Some icons on this website may not have tooltips.  Screen reader, low vision, and color-blind users may find it difficult to identify the information when no label/tooltip is provided on keyboard focus and mouse hover on the info.</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Not Applicable</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