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Business Applications Ideas, Insiders, and FastTrack</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10,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Tools supporting BAG Customer Engagements including the EXP Dynamics Instance and related automation.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 Grid is auto-generated by Dynamics 365 Product onto Portal.</w:t>
            </w:r>
            <w:r>
              <w:rPr>
                <w:rFonts w:ascii="Segoe UI" w:hAnsi="Segoe UI" w:cs="Segoe UI"/>
              </w:rPr>
              <w:br/>
            </w:r>
            <w:r>
              <w:rPr>
                <w:rFonts w:ascii="Segoe UI" w:hAnsi="Segoe UI" w:cs="Segoe UI"/>
              </w:rPr>
              <w:t>On tabbing, focus goes to non-focus-able element however not impacting functionality.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8" ma:contentTypeDescription="Create a new document." ma:contentTypeScope="" ma:versionID="ac728b39a2f27593f11afb8885bdaf75">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a385f57c49dda5fab4760e84b0966a95"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CFEC10C-0C2D-41D3-AA60-2169605DD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173</TotalTime>
  <Pages>6</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2022-07-13T17:43:00Z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