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Winfield</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Project Winfield (aka Arc-A) is an edge product that enable customer to deploy and manage Arc enabled service on the edge and fully disconnected from public Azure.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r>
              <w:rPr>
                <w:rFonts w:cs="Segoe UI"/>
              </w:rPr>
              <w:t>Users may experience confusion about which fields are mandatory. This lack of clear indication can hinder users, especially those relying on assistive technologies, from understanding form requirements, potentially leading to incomplete or incorrect form submissions. Clear and consistent identification of required fields is essential to ensure accessibility and usability for all users</w:t>
            </w: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Assistive technology users, such as those using screen readers, can understand the purpose of each form element. Without proper labels, users may not be able to identify or interact effectively with form fields, which can prevent them from completing forms or accessing important functionality. Proper labeling helps users know what information is required and improves overall accessibility and usability of the form. This means users with disabilities can navigate and use the form more independently and efficiently.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Users with low vision who depend on high zoom levels are impacted, as the absence of a horizontal scrollbar at 400% zoom prevents them from accessing the full table content using a mouse or keyboard. This creates a barrier to accessing essential information and results in inconsistent navigation behavior between table rows and headers.</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This may prevent users relying on these screen readers from being aware that no results are available in that section. Users can still complete core scenarios, but the lack of announcement means they might miss this specific status update.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