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Viva Learning</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Viva Learning creates a central hub for learning where people can discover, share, and learn from content libraries across their organization to empower teams and individuals to make learning a natural part of their day.</w:t>
      </w:r>
      <w:r>
        <w:rPr>
          <w:rFonts w:eastAsia="Times New Roman" w:cs="Segoe UI"/>
        </w:rPr>
        <w:br/>
      </w:r>
      <w:r>
        <w:rPr>
          <w:rFonts w:eastAsia="Times New Roman" w:cs="Segoe UI"/>
        </w:rPr>
        <w:t>- Get to the learning content that's relevant to you.</w:t>
      </w:r>
      <w:r>
        <w:rPr>
          <w:rFonts w:eastAsia="Times New Roman" w:cs="Segoe UI"/>
        </w:rPr>
        <w:br/>
      </w:r>
      <w:r>
        <w:rPr>
          <w:rFonts w:eastAsia="Times New Roman" w:cs="Segoe UI"/>
        </w:rPr>
        <w:t>- Share a course you've discovered with someone else.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