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ADM workload</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22,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ADM workload scans content and identifies sensitivity information based on tenant policies.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Some headings may visually appear correctly but are not programmatically identified as headings.  
- Tool tip information for workspace controls may not be announced by screen readers.</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Screen reader announces the presence and role of controls but may not always convey when a control is selected.</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The label for the "Filter by" keyboard field may not clearly describe its purpose, which could affect understanding for users relying on assistive technologies.</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