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6D9D0CF5"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sidR="00465DEE">
        <w:rPr>
          <w:rFonts w:eastAsia="Segoe UI" w:cs="Segoe UI"/>
        </w:rPr>
        <w:t>June 29</w:t>
      </w:r>
      <w:r>
        <w:rPr>
          <w:rFonts w:eastAsia="Segoe UI" w:cs="Segoe UI"/>
        </w:rPr>
        <w:t>,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Blueprints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Blueprints enable quick creation of governed subscriptions. This allows Cloud Architects to design environments that comply with organizational standards and best practices – enabling your app teams to get to production faster.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933B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933B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933B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933B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933B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In some instances Narrator will read the entire table when focus is on the first row (Blueprint definition list).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If dual role is announced for any control, the screen reader user will get confused regarding the correct role of the control and will face trouble in performing the required actions.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7704A"/>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65DEE"/>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174E8"/>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3CA9C5-CD9E-49B7-9EA1-E2639DAA4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3140</Words>
  <Characters>17900</Characters>
  <Application>Microsoft Office Word</Application>
  <DocSecurity>8</DocSecurity>
  <Lines>149</Lines>
  <Paragraphs>41</Paragraphs>
  <ScaleCrop>false</ScaleCrop>
  <Company/>
  <LinksUpToDate>false</LinksUpToDate>
  <CharactersWithSpaces>20999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2021-05-26T14:48:00Z</dcterms:created>
  <dcterms:modified xsi:type="dcterms:W3CDTF">2021-06-30T01:28:00Z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