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OME Portal</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Office 365 Message Encryption (OME) is a service built on Azure Rights Management (Azure RMS) that lets you send encrypted email to people inside or outside your organization, regardless of the destination email address.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&lt;img&gt; elements in the mail are missing the alt attribute and do not have a role of none or presentation.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Error message 'The one-time passcode is incorrect' not associated with its label for screen reader users</w:t>
            </w:r>
            <w:r>
              <w:rPr>
                <w:rFonts w:cs="Segoe UI"/>
              </w:rPr>
              <w:br/>
            </w:r>
            <w:r>
              <w:rPr>
                <w:rFonts w:cs="Segoe UI"/>
              </w:rPr>
              <w:t>Heading are not defined for 'Encryption message' and 'OTP Authentication'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r>
              <w:rPr>
                <w:rFonts w:cs="Segoe UI"/>
              </w:rPr>
              <w:t>Missing or Empty &lt;title&gt; Element in HTML Document</w:t>
            </w: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Accessible name is not defined for the 'Expand/collapse' button.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The non-interactive text “We sent a one-time passcode to your email address” has a contrast ratio of 2.739:1 against its background.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When the control labeled “User Name” receives focus, the background color changes in a way that creates a visual shape. However, the contrast ratio between the focused background and the surrounding background is 1.114:1, which is below the required 3:1 threshold for non-text contrast.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On applying high contrast 'aquatic'/'Desert' theme, the keyboard focus is not visible on the 'user gmail' and 'Use another account' controls.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error message 'The one-time passcode is empty' when one-time passcode field is empty and Continue button is activated.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