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Learn Content Lifecycle</w:t>
      </w:r>
      <w:r w:rsidRPr="0036636B">
        <w:rPr>
          <w:rFonts w:eastAsia="Segoe UI" w:cs="Segoe UI"/>
        </w:rPr>
        <w:t xml:space="preserve"> / </w:t>
      </w:r>
      <w:r>
        <w:rPr>
          <w:rFonts w:eastAsia="Segoe UI" w:cs="Segoe UI"/>
        </w:rPr>
        <w:t>1.0.2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10, 2025</w:t>
      </w:r>
    </w:p>
    <w:p w14:paraId="6ABAF267" w14:textId="15D00685"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Learn Authoring Pack, a collection of VSCode extensions that enhance local authoring experience of Microsoft internal content teams and external public contributors. </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r>
              <w:rPr>
                <w:rFonts w:cs="Segoe UI"/>
              </w:rPr>
              <w:t>Keyboard focus color contrast may not meet the required 3:1 ratio, impacting visibility during keyboard navigation.</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4AF0"/>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37E7"/>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4ABA"/>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734A10-4616-46A8-8835-0F08B232685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2533</Words>
  <Characters>14439</Characters>
  <Application>Microsoft Office Word</Application>
  <DocSecurity>8</DocSecurity>
  <Lines>120</Lines>
  <Paragraphs>33</Paragraphs>
  <ScaleCrop>false</ScaleCrop>
  <Company/>
  <LinksUpToDate>false</LinksUpToDate>
  <CharactersWithSpaces>16939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2025-09-10T21:44:00Z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