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November 30,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China Support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For Azure China support related projects empowered by Cloud, &amp; AI technologies.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B6AD2"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B6AD2"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B6AD2"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B6AD2"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B6AD2"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 xml:space="preserve">There are instances where screen reader does not work as expected.  For example, the screen reader does not pass any information for the </w:t>
            </w:r>
            <w:r>
              <w:lastRenderedPageBreak/>
              <w:t>error message appearing on the "Support type" combo box.</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There is an instance where the button label is not correct.  For example, State is not defined for "What is Azure?” button under "General Inquiries" tab. Screen reader is not reading the state information after expanding the "What is Azure?” button.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35A79"/>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AD2"/>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3149</Words>
  <Characters>17954</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2019-10-31T17:15:00Z</dcterms:created>
  <dcterms:modified xsi:type="dcterms:W3CDTF">2019-10-31T17:15:00Z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