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26,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Finance, Commerce and SCM</w:t>
      </w:r>
    </w:p>
    <w:p w14:paraId="416E81E0" w14:textId="11FD2D7E"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sidR="0075185F">
        <w:rPr>
          <w:rFonts w:eastAsia="Segoe UI" w:cs="Segoe UI"/>
        </w:rPr>
        <w:t>Microsoft Dynamics 365 Finance, Commerce and SCM enable you to make smarter decisions, redesign business processes faster, and fuel business growth. (This document doesn't represent customer authored Commerce store-fronts or Commerce tooling.)</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Version 10.0.15</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F21F5F"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F21F5F"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F21F5F"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F21F5F"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F21F5F"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r>
              <w:t xml:space="preserve">Product form patterns do not include the use imagery or non-text for key functionality. Limited areas using custom controls or variant design patterns may display logos or </w:t>
            </w:r>
            <w:r>
              <w:lastRenderedPageBreak/>
              <w:t>imagery not part of core functionally.</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Some assistive technologies (e.g. a screen reader) may provide variant kinds of relationship detail. Input is logically structured and optimized for rapid data entry.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 With Exceptions</w:t>
            </w:r>
          </w:p>
        </w:tc>
        <w:tc>
          <w:tcPr>
            <w:tcW w:w="3757" w:type="dxa"/>
            <w:gridSpan w:val="2"/>
          </w:tcPr>
          <w:p w14:paraId="1DA3AC29" w14:textId="1FCAD365" w:rsidR="00DC03E4" w:rsidRPr="00780DAA" w:rsidRDefault="00DC03E4" w:rsidP="00DC03E4">
            <w:pPr>
              <w:rPr>
                <w:rFonts w:cs="Segoe UI"/>
              </w:rPr>
            </w:pPr>
            <w:r>
              <w:t>Limited areas of the product may implement custom controls or unique patterns that display data in a graphical manner using color.</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Product offers theming options that in some cases do not provide the level of contrast desired by the user.</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r>
              <w:t>Product design patterns do not include the use of images of text for key functionality. Limited areas using custom controls or variant design patterns may diplay logos or imagery not part of core functionally.</w:t>
            </w:r>
          </w:p>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In some areas, content requires scrolling to view entire data result.</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37BF93FB" w:rsidR="009B5FA0" w:rsidRDefault="009B5FA0" w:rsidP="00265F48">
            <w:r>
              <w:t>Some areas of the product and forms that display information or interactive tiles do not offer robust text spacing.</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r>
              <w:t>Limited areas using custom controls or variant design patterns may inadvertently introduce keyboard trap. Product design patterns include shortcuts that enable "jump to" functionality enabling the user to reset keyboard focus.</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Limited areas using custom controls or variant design patterns may inadvertently mask current focus.</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r>
              <w:t>Default language is determined by the user.</w:t>
            </w: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r>
              <w:t>Default language is determined by the user.</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r>
              <w:t>Assistive technologies (e.g. screen reader) provide varying levels of detail depending upon platform, technology and control.</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Assistive technologies (e.g. screen reader) provide varying levels of detail depending upon platform, technology and controls. Some complex and composite controls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185F"/>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1F5F"/>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323BB5-A037-4234-84D6-7C15BA5AE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3376</Words>
  <Characters>19246</Characters>
  <Application>Microsoft Office Word</Application>
  <DocSecurity>8</DocSecurity>
  <Lines>160</Lines>
  <Paragraphs>45</Paragraphs>
  <ScaleCrop>false</ScaleCrop>
  <Company/>
  <LinksUpToDate>false</LinksUpToDate>
  <CharactersWithSpaces>22577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2022-02-26T20:52:00Z</dcterms:created>
  <dcterms:modified xsi:type="dcterms:W3CDTF">2022-02-26T20:52:00Z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