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8AED8AA"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Defender EASM</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25, 2025</w:t>
      </w:r>
    </w:p>
    <w:p w14:paraId="6ABAF267" w14:textId="42A49FE6"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Defender External Attack Surface Management (Defender EASM) is a service that scans the internet for assets owned by your organization and maps your digital attack surface. It provides an external view of your online infrastructure and helps you uncover previously unknown and unmonitored properties.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Content structure and relationships not programmatically determinable or available in text, impacting users who rely on assistive technologies to navigate and understand the content.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Users are unable to operate all content through a keyboard interface without specific timings, impacting those who rely on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Buttons require clear text labels to ensure compliance with user interface component standards.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Content can be presented without loss of information or functionality, except for parts requiring two-dimensional layout. Ensure vertical scrolling content at a width equivalent to 320 CSS pixels and horizontal scrolling content at a height equivalent to 256 CSS pixels. Examples needing two-dimensional layout include images for understanding, video, games, presentations, data tables, and interfaces with fixed toolbars.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850"/>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0E7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2B1D"/>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17F7"/>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8C4199-7A52-4EC0-85CF-E6422B73D9D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2660</Words>
  <Characters>15165</Characters>
  <Application>Microsoft Office Word</Application>
  <DocSecurity>8</DocSecurity>
  <Lines>126</Lines>
  <Paragraphs>35</Paragraphs>
  <ScaleCrop>false</ScaleCrop>
  <Company/>
  <LinksUpToDate>false</LinksUpToDate>
  <CharactersWithSpaces>17790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2025-06-25T17:37:00Z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