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proofErr w:type="spellStart"/>
      <w:proofErr w:type="gramEnd"/>
      <w:proofErr w:type="gramStart"/>
      <w:proofErr w:type="spellEnd"/>
      <w:r>
        <w:rPr>
          <w:rFonts w:eastAsia="Segoe UI" w:cs="Segoe UI"/>
        </w:rPr>
        <w:t>Embark</w:t>
      </w:r>
      <w:r w:rsidRPr="0036636B">
        <w:rPr>
          <w:rFonts w:eastAsia="Segoe UI" w:cs="Segoe UI"/>
        </w:rPr>
        <w:t xml:space="preserve"> / </w:t>
      </w:r>
      <w:proofErr w:type="spellStart"/>
      <w:proofErr w:type="gramEnd"/>
      <w:proofErr w:type="spellEnd"/>
      <w:r>
        <w:rPr>
          <w:rFonts w:eastAsia="Segoe UI" w:cs="Segoe UI"/>
        </w:rPr>
        <w:t>GVS-Intake:20250911.1, Ikran-Landing:20250821.1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proofErr w:type="spellStart"/>
      <w:proofErr w:type="spellEnd"/>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proofErr w:type="spellStart"/>
      <w:proofErr w:type="spellEnd"/>
      <w:r>
        <w:rPr>
          <w:rFonts w:eastAsia="Segoe UI" w:cs="Segoe UI"/>
        </w:rPr>
        <w:t>December 2,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proofErr w:type="spellStart"/>
      <w:proofErr w:type="spellEnd"/>
      <w:r>
        <w:rPr>
          <w:rFonts w:eastAsia="Times New Roman" w:cs="Segoe UI"/>
        </w:rPr>
        <w:t>The Embark family of tools streamlines onboarding and validation for government and regulated customers across Azure’s specialized clouds, including Fairfax and the secret/top secret Azure Government Classified environments. It provides a unified intake process, automated provisioning, and integrated account management services to simplify tenant creation, billing, and compliance, while enforcing validation and approval flows for secure, efficient deployments.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A1D38E3" w14:textId="5FCA0A84"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proofErr w:type="spellStart"/>
      <w:proofErr w:type="gramStart"/>
      <w:proofErr w:type="spellEnd"/>
      <w:proofErr w:type="gramEnd"/>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