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Operator Service Manager Portal Extension</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25,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Operator Service Manager provides the platform to host Containerised and Virtual Network Functions and applications in a customers' premises, while allowing customer to set up and manage this infrastructure through Azure.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This practice allows assistive technologies, such as screen readers, to correctly interpret and convey the purpose or function of elements on a page to users with disabilities. When elements have appropriate alternative text, users who rely on these technologies can understand the content and functionality that might otherwise be inaccessible.</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When a heading is not programmatically defined, assistive technologies such as screen readers cannot recognize it as a heading. This leads to several issues like Navigation Difficulty, Context Loss, Inconsistent Experience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Users who depend on screen readers will not be informed about the validation constraint regarding the minimum and maximum number of entries allowed. This lack of feedback can cause confusion and prevent users from understanding why their action (deleting an NFVI) may be invalid or restricted.</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