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NetApp Files</w:t>
      </w:r>
      <w:r w:rsidRPr="0036636B">
        <w:rPr>
          <w:rFonts w:eastAsia="Segoe UI" w:cs="Segoe UI"/>
        </w:rPr>
        <w:t xml:space="preserve"> / </w:t>
      </w:r>
      <w:proofErr w:type="spellStart"/>
      <w:proofErr w:type="gramEnd"/>
      <w:proofErr w:type="spellEnd"/>
      <w:r>
        <w:rPr>
          <w:rFonts w:eastAsia="Segoe UI" w:cs="Segoe UI"/>
        </w:rPr>
        <w:t>Azure NetApp Files portal 2409</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12,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NetApp Files Portal part of the resource.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Some text that appears as headings visually may not be identified as headings by assistive technologies, which could affect understanding of the page structure.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Content is designed to avoid loss of information or functionality without requiring two-dimensional scrolling.</w:t>
            </w:r>
            <w:r>
              <w:rPr>
                <w:rFonts w:cs="Segoe UI"/>
              </w:rPr>
              <w:br/>
            </w:r>
            <w:r>
              <w:rPr>
                <w:rFonts w:cs="Segoe UI"/>
              </w:rPr>
              <w:t>- At smaller viewport sizes, some column header content may overlap in specific panes, which could affect clarity.</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