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24,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Customer Engagement Fabric</w:t>
      </w:r>
    </w:p>
    <w:p w14:paraId="416E81E0" w14:textId="140EA23C"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Customer Engagement Fabric provides a series of services -</w:t>
      </w:r>
      <w:r w:rsidR="00671EFD">
        <w:rPr>
          <w:rFonts w:eastAsia="Segoe UI" w:cs="Segoe UI"/>
        </w:rPr>
        <w:t xml:space="preserve"> </w:t>
      </w:r>
      <w:r>
        <w:rPr>
          <w:rFonts w:eastAsia="Segoe UI" w:cs="Segoe UI"/>
        </w:rPr>
        <w:t>Notification, Authentication, Payment, Social Sharing and Customer Interaction for customer engagement, to reduce friction to reach consumers for global companies that need to adapt to China unique.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ACE-EST-CustomerEngagementFabric - release | 1.0.9.52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7440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7440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7440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7440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7440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0F8612F7" w:rsidR="00DC03E4" w:rsidRPr="00780DAA" w:rsidRDefault="00DC03E4" w:rsidP="00DC03E4">
            <w:pPr>
              <w:rPr>
                <w:rFonts w:cs="Segoe UI"/>
              </w:rPr>
            </w:pPr>
            <w:r>
              <w:t>Screen reader does not associate column header with it</w:t>
            </w:r>
            <w:bookmarkStart w:id="5" w:name="_GoBack"/>
            <w:bookmarkEnd w:id="5"/>
            <w:r>
              <w:t>s row cell while user navigates on table.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74409"/>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71EFD"/>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792FFC-5AF6-45F8-AA6C-67A37E6D1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3134</Words>
  <Characters>17864</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2019-08-21T15:41:00Z</dcterms:created>
  <dcterms:modified xsi:type="dcterms:W3CDTF">2019-08-21T15:42:00Z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