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16,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Delegated Resource Management (Azure Management Experiences)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Delegated Resource Management is one of the key components of the Microsoft Azure Service Provider Management Toolkit. With Azure Delegated Resource Management, service providers can simplify customer engagement and onboarding experiences, while managing delegated resources at scale with agility and precision. Authorized users from Managed Service Provider can work directly in the context of a customer subscription without needing an account in into that customer's tenant. They can also view and manage all delegated customer subscriptions in the new My customers page in the Azure portal. In addition to this, Service Providers’ customers can view info about the resources they have delegated by going to Service providers in the Azure portal.</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7F1F52"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7F1F52"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7F1F52"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7F1F52"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7F1F52"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w:t>
            </w:r>
            <w:r w:rsidRPr="00AE23D6">
              <w:lastRenderedPageBreak/>
              <w:t xml:space="preserve">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Screen reader provide all rows information in one go, when navigate under 'Delegated Resource group' page. As a workaround, user should listen the list over again in case they want to hear a particular item.</w:t>
            </w:r>
            <w:r>
              <w:br/>
            </w:r>
            <w:r>
              <w:br/>
              <w:t>On Service provider- Offer details - Role assignments list and Access assignments- Offer details - Role assignments list, after selection of spacebar key on sort by screen reader does not provide acceding/descending information. As a workaround, user can listen to the list items to see if the list is ascending or descending.</w:t>
            </w:r>
            <w:r>
              <w:br/>
            </w:r>
            <w:r>
              <w:br/>
              <w:t>Screen reader does not read row items links with their column header in "Provider" blade. As a workaround, user has to listen to the column headers separately.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lastRenderedPageBreak/>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 xml:space="preserve">Parts of graphics required to understand the content, except when a particular presentation of graphics is </w:t>
            </w:r>
            <w:r w:rsidRPr="009B35CD">
              <w:rPr>
                <w:rFonts w:cs="Segoe UI"/>
                <w:szCs w:val="20"/>
              </w:rPr>
              <w:lastRenderedPageBreak/>
              <w:t>essential to the information being conveyed.</w:t>
            </w:r>
          </w:p>
        </w:tc>
        <w:tc>
          <w:tcPr>
            <w:tcW w:w="3075" w:type="dxa"/>
          </w:tcPr>
          <w:p w14:paraId="4E8E1C0B" w14:textId="61940296" w:rsidR="009B35CD" w:rsidRDefault="009B35CD" w:rsidP="00265F48">
            <w:r>
              <w:lastRenderedPageBreak/>
              <w:t>Not Supported</w:t>
            </w:r>
          </w:p>
        </w:tc>
        <w:tc>
          <w:tcPr>
            <w:tcW w:w="3757" w:type="dxa"/>
            <w:gridSpan w:val="2"/>
          </w:tcPr>
          <w:p w14:paraId="3CD6C430" w14:textId="15C6282D" w:rsidR="009B35CD" w:rsidRDefault="009B35CD" w:rsidP="00265F48">
            <w:r>
              <w:t>Create an offer flow as well as access assignments pages have low luminosity ratio for focus indicator.</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w:t>
            </w:r>
            <w:r w:rsidRPr="00780DAA">
              <w:rPr>
                <w:rFonts w:cs="Segoe UI"/>
                <w:szCs w:val="20"/>
              </w:rPr>
              <w:lastRenderedPageBreak/>
              <w:t>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t>
            </w:r>
            <w:r w:rsidRPr="00780DAA">
              <w:rPr>
                <w:rFonts w:cs="Segoe UI"/>
                <w:szCs w:val="20"/>
              </w:rPr>
              <w:lastRenderedPageBreak/>
              <w:t>where the Web Page is the result of, or a step in, a process.</w:t>
            </w:r>
          </w:p>
        </w:tc>
        <w:tc>
          <w:tcPr>
            <w:tcW w:w="3037" w:type="dxa"/>
          </w:tcPr>
          <w:p w14:paraId="1C283C08" w14:textId="7AEFABCA" w:rsidR="00F46FD2" w:rsidRPr="000E30E5" w:rsidRDefault="00F46FD2" w:rsidP="00F46FD2">
            <w:pPr>
              <w:rPr>
                <w:rFonts w:cs="Segoe UI"/>
                <w:b/>
              </w:rPr>
            </w:pPr>
            <w:r>
              <w:lastRenderedPageBreak/>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On Service provider- Offer details - Role assignments list and Access assignments- Offer details - Role assignments list, focus indicator is not visible on "Copy to clipboard" in "Offer Details" blade after the first "Copy to clipboard". As a workaround, the user can use the hover popup that appears with the text "Copy to clipboard" as a visual guideline of the selected component.</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lastRenderedPageBreak/>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Focus indicator moves to the root element after copy to clipboard action is performed. As a workaround, the user should make additional tabs to be able to come back to the next element in sequence from the root element, after copy to clipboard action.</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w:t>
            </w:r>
            <w:r w:rsidRPr="00780DAA">
              <w:rPr>
                <w:rFonts w:cs="Segoe UI"/>
                <w:szCs w:val="20"/>
              </w:rPr>
              <w:lastRenderedPageBreak/>
              <w:t>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w:t>
            </w:r>
            <w:r w:rsidRPr="00780DAA">
              <w:rPr>
                <w:rFonts w:cs="Segoe UI"/>
                <w:szCs w:val="20"/>
              </w:rPr>
              <w:lastRenderedPageBreak/>
              <w:t>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1F5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266"/>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3408</Words>
  <Characters>19427</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2019-07-10T14:41:00Z</dcterms:created>
  <dcterms:modified xsi:type="dcterms:W3CDTF">2019-07-10T14:41:00Z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