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proofErr w:type="spellStart"/>
      <w:proofErr w:type="gramEnd"/>
      <w:proofErr w:type="gramStart"/>
      <w:proofErr w:type="spellEnd"/>
      <w:r>
        <w:rPr>
          <w:rFonts w:eastAsia="Segoe UI" w:cs="Segoe UI"/>
        </w:rPr>
        <w:t>Azure Lab Services - Classroom Labs</w:t>
      </w:r>
      <w:r w:rsidRPr="0036636B">
        <w:rPr>
          <w:rFonts w:eastAsia="Segoe UI" w:cs="Segoe UI"/>
        </w:rPr>
        <w:t xml:space="preserve"> / </w:t>
      </w:r>
      <w:proofErr w:type="spellStart"/>
      <w:proofErr w:type="gramEnd"/>
      <w:proofErr w:type="spellEnd"/>
      <w:r>
        <w:rPr>
          <w:rFonts w:eastAsia="Segoe UI" w:cs="Segoe UI"/>
        </w:rPr>
        <w:t>Continuous release</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proofErr w:type="spellStart"/>
      <w:proofErr w:type="spellEnd"/>
      <w:r>
        <w:rPr>
          <w:rFonts w:eastAsia="Segoe UI" w:cs="Segoe UI"/>
        </w:rPr>
        <w:t>Azure</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proofErr w:type="spellStart"/>
      <w:proofErr w:type="spellEnd"/>
      <w:r>
        <w:rPr>
          <w:rFonts w:eastAsia="Segoe UI" w:cs="Segoe UI"/>
        </w:rPr>
        <w:t>April 2, 2026</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proofErr w:type="spellStart"/>
      <w:proofErr w:type="spellEnd"/>
      <w:r>
        <w:rPr>
          <w:rFonts w:eastAsia="Times New Roman" w:cs="Segoe UI"/>
        </w:rPr>
        <w:t>Azure Lab Services enables you to quickly set up a classroom lab environment in the cloud. An educator creates a classroom lab, provisions Windows, or Linux virtual machines, installs the necessary software and tools labs in the class, and makes them available to students. The students in the class connect to virtual machines (VMs) in the lab, and use them for their projects, assignments, classroom exercises. The classroom labs are managed lab types that are managed by Azure. The service itself handles all the infrastructure management for a managed lab type, from spinning up virtual machines (VMs) to handling errors, and scaling the infrastructure. You specify what kind of infrastructure you need and install any tools or software that's required for the class.</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r>
              <w:rPr>
                <w:rFonts w:cs="Segoe UI"/>
              </w:rPr>
              <w:t>Screen reader does not read the following:</w:t>
            </w:r>
            <w:r>
              <w:rPr>
                <w:rFonts w:cs="Segoe UI"/>
              </w:rPr>
              <w:br/>
            </w:r>
            <w:r>
              <w:rPr>
                <w:rFonts w:cs="Segoe UI"/>
              </w:rPr>
              <w:t>- Numerical position of items in the header bar. Each menu item is accessible with arrow key navigation and its title is announced.</w:t>
            </w:r>
            <w:r>
              <w:rPr>
                <w:rFonts w:cs="Segoe UI"/>
              </w:rPr>
              <w:br/>
            </w:r>
            <w:r>
              <w:rPr>
                <w:rFonts w:cs="Segoe UI"/>
              </w:rPr>
              <w:t>- Tooltips for some of the controls in the user page. The actions for these controls can still be invoked.</w:t>
            </w: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r>
              <w:rPr>
                <w:rFonts w:cs="Segoe UI"/>
              </w:rPr>
              <w:t>The 'Delete' icon present under 'Tags' tab is not accessible through keyboard.</w:t>
            </w:r>
            <w:r>
              <w:rPr>
                <w:rFonts w:cs="Segoe UI"/>
              </w:rPr>
              <w:br/>
            </w:r>
            <w:r>
              <w:rPr>
                <w:rFonts w:cs="Segoe UI"/>
              </w:rPr>
              <w:t>"Create azure compute gallery" and "Attach existing gallery" buttons are not keyboard accessible.</w:t>
            </w:r>
            <w:r>
              <w:rPr>
                <w:rFonts w:cs="Segoe UI"/>
              </w:rPr>
              <w:br/>
            </w:r>
            <w:r>
              <w:rPr>
                <w:rFonts w:cs="Segoe UI"/>
              </w:rPr>
              <w:t>"Remove" button which is present beside 'Resource = = all' button is not keyboard accessible.</w:t>
            </w: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r>
              <w:rPr>
                <w:rFonts w:cs="Segoe UI"/>
              </w:rPr>
              <w:t>- The focus order generally follows the visual layout and intended operation of the interface to support intuitive navigation.</w:t>
            </w: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3C74361F" w:rsidR="00DA7252" w:rsidRPr="0036636B" w:rsidRDefault="00274C1F" w:rsidP="00DA7252">
            <w:pPr>
              <w:spacing w:after="0" w:line="240" w:lineRule="auto"/>
              <w:rPr>
                <w:rFonts w:eastAsia="Times New Roman" w:cs="Segoe UI"/>
              </w:rPr>
            </w:pPr>
            <w:r>
              <w:rPr>
                <w:rFonts w:eastAsia="Times New Roman"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r>
              <w:rPr>
                <w:rFonts w:cs="Segoe UI"/>
              </w:rPr>
              <w:t>Aria required=true is not defined for the mandatory edit field present under the "Add plan details" section.</w:t>
            </w: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r>
              <w:rPr>
                <w:rFonts w:cs="Segoe UI"/>
              </w:rPr>
              <w:t>- Text and background colors are designed to provide sufficient contrast to support readability and visual clarity.</w:t>
            </w: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r>
              <w:rPr>
                <w:rFonts w:cs="Segoe UI"/>
              </w:rPr>
              <w:t>After setting the viewport to 320*256px, List items present in the "Subscription = = all" button is not visible.</w:t>
            </w:r>
            <w:r>
              <w:rPr>
                <w:rFonts w:cs="Segoe UI"/>
              </w:rPr>
              <w:br/>
            </w:r>
            <w:r>
              <w:rPr>
                <w:rFonts w:cs="Segoe UI"/>
              </w:rPr>
              <w:t>On setting the view port to 320*256 pixels, the "Review+create" button text information present on the button is not visible.</w:t>
            </w:r>
            <w:r>
              <w:rPr>
                <w:rFonts w:cs="Segoe UI"/>
              </w:rPr>
              <w:br/>
            </w:r>
            <w:r>
              <w:rPr>
                <w:rFonts w:cs="Segoe UI"/>
              </w:rPr>
              <w:t>After setting the viewport to 320*256px, ‘Azure compute gallery’ table gets disappear.</w:t>
            </w: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r>
              <w:rPr>
                <w:rFonts w:cs="Segoe UI"/>
              </w:rPr>
              <w:t>- Additional content triggered by hover or keyboard focus may not always remain visible when moving the pointer over it.</w:t>
            </w:r>
            <w:r>
              <w:rPr>
                <w:rFonts w:cs="Segoe UI"/>
              </w:rPr>
              <w:br/>
            </w:r>
            <w:r>
              <w:rPr>
                <w:rFonts w:cs="Segoe UI"/>
              </w:rPr>
              <w:t>- A clear way to dismiss this content without moving focus or pointer may not be available.</w:t>
            </w:r>
            <w:r>
              <w:rPr>
                <w:rFonts w:cs="Segoe UI"/>
              </w:rPr>
              <w:br/>
            </w:r>
            <w:r>
              <w:rPr>
                <w:rFonts w:cs="Segoe UI"/>
              </w:rPr>
              <w:t>- The content may not consistently stay visible until the trigger is removed, dismissed, or no longer relevant.</w:t>
            </w: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r>
              <w:rPr>
                <w:rFonts w:cs="Segoe UI"/>
              </w:rPr>
              <w:t>- Keyboard users can identify which element is focused, though some focus indicators may benefit from enhanced visibility to improve clarity during navigation.</w:t>
            </w: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r>
              <w:rPr>
                <w:rFonts w:cs="Segoe UI"/>
              </w:rPr>
              <w:t>Screen reader does not announce the search results information by entering any Valid/Invalid data in the search edit field.</w:t>
            </w: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A1D38E3" w14:textId="5FCA0A84"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proofErr w:type="spellStart"/>
      <w:proofErr w:type="gramStart"/>
      <w:proofErr w:type="spellEnd"/>
      <w:proofErr w:type="gramEnd"/>
      <w:r>
        <w:rPr>
          <w:rFonts w:cs="Segoe UI"/>
          <w:sz w:val="20"/>
          <w:szCs w:val="20"/>
        </w:rPr>
        <w:t>2026</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27FDC444"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3" w:history="1">
        <w:r w:rsidR="00487BBA">
          <w:rPr>
            <w:rStyle w:val="Hyperlink"/>
            <w:rFonts w:cs="Segoe UI"/>
            <w:sz w:val="20"/>
            <w:szCs w:val="20"/>
          </w:rPr>
          <w:t>VPAT® Rev 2.5 WCAG (April 2025)</w:t>
        </w:r>
      </w:hyperlink>
      <w:r w:rsidR="00553F41" w:rsidRPr="00413599">
        <w:rPr>
          <w:rFonts w:cs="Segoe UI"/>
          <w:sz w:val="20"/>
          <w:szCs w:val="20"/>
        </w:rPr>
        <w:t>” template. “Voluntary Product Accessibility Template” and “VPAT” are registered service marks of the Information Technology Industry Council (ITI</w:t>
      </w:r>
      <w:bookmarkStart w:id="0" w:name="_Hlk197010722"/>
      <w:r w:rsidR="00553F41" w:rsidRPr="00413599">
        <w:rPr>
          <w:rFonts w:cs="Segoe UI"/>
          <w:sz w:val="20"/>
          <w:szCs w:val="20"/>
        </w:rPr>
        <w:t>). This document includes material copied from or derived from the Web Content Accessibility Guidelines (</w:t>
      </w:r>
      <w:hyperlink r:id="rId104"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w:t>
      </w:r>
      <w:bookmarkEnd w:id="0"/>
      <w:r w:rsidR="00553F41" w:rsidRPr="00413599">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5"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