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Liftr-PAN</w:t>
      </w:r>
      <w:r w:rsidRPr="0036636B">
        <w:rPr>
          <w:rFonts w:eastAsia="Segoe UI" w:cs="Segoe UI"/>
        </w:rPr>
        <w:t xml:space="preserve"> / </w:t>
      </w:r>
      <w:proofErr w:type="spellStart"/>
      <w:proofErr w:type="gramEnd"/>
      <w:proofErr w:type="spellEnd"/>
      <w:r>
        <w:rPr>
          <w:rFonts w:eastAsia="Segoe UI" w:cs="Segoe UI"/>
        </w:rPr>
        <w:t>11.191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Palo Alto Networks VM-Series firewalls augmentative Azure network security controls with next-generation threat prevention capabilities to protect application workloads in customers’ VNet(s). However, VM-Series firewalls are challenging to deploy, scale, and manage on theAzure platform. We propose to introduce Palo Alto Networks’ NGFWaaS for Azure and list it in Azure Marketplace. It will enable customers to discover Palo Alto Networks’ NGFirewall in the Azure portal and consume it in their virtual networks (a.k.a Azure VNets and Azure virtual Wan hubs).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Some text elements that visually appear as headings are not identified as headings programmatically, which may affect how assistive technologies interpret the page structure.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The 'Product serial number' info button on the 'New Support Request' screen is currently not accessible via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r>
              <w:rPr>
                <w:rFonts w:cs="Segoe UI"/>
              </w:rPr>
              <w:t>- Some 'Learn more' links under the 'Get started' tab may not have descriptive names, which could make their purpose less clear.</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 When a required field such as "Certificate URI" is left blank, the system currently does not provide an error message to describe the issue.</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Some form fields, buttons, and checkboxes may have limited labeling, which can affect how their purpose is conveyed to users relying on screen readers.</w:t>
            </w:r>
            <w:r>
              <w:rPr>
                <w:rFonts w:cs="Segoe UI"/>
              </w:rPr>
              <w:br/>
            </w:r>
            <w:r>
              <w:rPr>
                <w:rFonts w:cs="Segoe UI"/>
              </w:rPr>
              <w:t>- Efforts are made to ensure all interactive elements have clear and accessible names to enhance navigation and interaction.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Error messages in certain dialogs have color contrast ratios that are slightly below the recommended minimum, which may affect readability for some users.</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r>
              <w:rPr>
                <w:rFonts w:cs="Segoe UI"/>
              </w:rPr>
              <w:t>- Suggestions for correcting errors are provided for most fields, with some opportunities to enhance guidance for the 'DNS Server IP Addresses' field on the 'DNS Proxy' screen.</w:t>
            </w: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Notifications on the 'Locks' screen may not be announced by screen readers.</w:t>
            </w:r>
            <w:r>
              <w:rPr>
                <w:rFonts w:cs="Segoe UI"/>
              </w:rPr>
              <w:br/>
            </w:r>
            <w:r>
              <w:rPr>
                <w:rFonts w:cs="Segoe UI"/>
              </w:rPr>
              <w:t>- Error messages in the 'Add Prefix List' dialog may not be conveyed to screen reader users.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