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Viva Engage</w:t>
      </w:r>
      <w:r w:rsidRPr="0036636B">
        <w:rPr>
          <w:rFonts w:eastAsia="Segoe UI" w:cs="Segoe UI"/>
        </w:rPr>
        <w:t xml:space="preserve"> / </w:t>
      </w:r>
      <w:proofErr w:type="spellStart"/>
      <w:proofErr w:type="gramEnd"/>
      <w:proofErr w:type="spellEnd"/>
      <w:r>
        <w:rPr>
          <w:rFonts w:eastAsia="Segoe UI" w:cs="Segoe UI"/>
        </w:rPr>
        <w:t>11.16.0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Enterprise Social Network on iOS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