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Cosmos DB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Cosmos DB was built from the ground up with global distribution and horizontal scale at its core. It offers turnkey global distribution across any number of Azure regions by transparently scaling and replicating your data wherever your users are. Elastically scale throughput and storage worldwide, and pay only for the throughput and storage you need. Azure Cosmos DB guarantees single-digit-millisecond latencies at the 99th percentile anywhere in the world, offers multiple well-defined consistency models to fine-tune performance, and guarantees high availability with multi-homing capabilities—all backed by industry-leading, comprehensive service level agreements (SLAs).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Tooltip information for info icons may not be announced by screen readers on the Azure Cosmos DB Account Settings page.</w:t>
            </w:r>
            <w:r>
              <w:rPr>
                <w:rFonts w:cs="Segoe UI"/>
              </w:rPr>
              <w:br/>
            </w:r>
            <w:r>
              <w:rPr>
                <w:rFonts w:cs="Segoe UI"/>
              </w:rPr>
              <w:t>- Some data is presented within table elements where simpler structures could enhance clarity and programmatic access.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