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Unified Purview Portal for Compliance and Governance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New Purview portal (old is M365 Compliance Center) for Security, Compliance, and Data Governance.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structure, and relationships may not be fully conveyed through programmatic means or text, which could affect how assistive technologies interpret content.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Instructions may rely on visual features such as shape, color, size, location, orientation, or sound, which could affect users who do not perceive these sensory characteristics.</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interactions may need additional input methods due to their nature but keyboard access is broadly supported.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Users can move keyboard focus to interactive components; however, guidance on how to move focus away using the keyboard may not always be provided when non-standard methods are required.</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generally follows the visual layout and intended operation of the interface, supporting intuitive navigation.  
- Some areas may have focus sequences that could be further aligned with the logical flow of content to enhance user experience.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Input fields include labels and instructions to guide users on the required information and expected formats.
- Some areas may benefit from enhanced clarity in instructions to further assist users in providing correct input.</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User interface components provide programmatically accessible names and roles to support assistive technologies.
- States, properties, and values of interactive elements can be set and updated programmatically for improved user interaction.
- Notifications of changes to interface elements are available to assistive technologies, enhancing navigation and functionality.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may have contrast levels that make them less distinguishable from their backgrounds, which could affect readability for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can be resized up to 200% without loss of content or functionality, supporting user customization for better readability.</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avoid the need for both horizontal and vertical scrolling simultaneously, supporting ease of navigation.
- Two-dimensional scrolling is provided only where necessary, such as for complex layouts like maps, diagrams, or data tables, ensuring important information remains accessible without loss.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Visual indicators for user interface components and graphical objects generally maintain sufficient contrast with adjacent colors to support clear recognition of states and boundaries.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users can identify which element is focused, although in some areas the focus indicator may be less prominent than recommended for optimal visibility.</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Partially 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Some interactive elements may have smaller clickable areas than recommended, which could affect ease of use for pointer input.</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are designed to be communicated to assistive technologies without shifting keyboard focus, supporting a seamless user experience.</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