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Portal Framework (IbizaFx)</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25,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Management portal for Azure services.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Decorative images should be hidden from assistive technologies so that screen readers do not move focus to or announce them. Only meaningful and informative content should be exposed through the accessibility tree, ensuring an efficient and seamless navigation experience for users of assistive technologies.</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All user interface elements should be programmatically exposed with accurate semantic roles, descriptive accessible names, and appropriate relationships. Visual headings should be defined as headings programmatically, form controls should be properly associated with their labels, interactive elements should have meaningful accessible names, and graphical content should provide accessible information that conveys its purpose and context to users of assistive technologies.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All interactive elements within the Resource Compliance pie chart, including individual chart segments, should be keyboard accessible. Users should be able to navigate to, access, and interact with the chart segments using standard keyboard commands, with relevant information and functionality available to both keyboard and assistive technology users.</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The Start control should have a meaningful and descriptive accessible name that clearly communicates its purpose and functionality. This will ensure that users of assistive technologies can easily identify and understand the control without relying on surrounding visual context.</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All interactive elements should expose accurate and complete accessibility properties, including appropriate control types, names, roles, and states. Any changes in control state should be communicated automatically to assistive technologies, ensuring that users receive equivalent information and feedback regardless of the method used to access the interface.</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When the application is displayed in dark theme, the text "Recommended" does not provide sufficient contrast against its background. The observed luminosity contrast ratio is below the minimum required threshold, which may make the text difficult to perceive for users with low vision, color vision deficiencies, or those viewing content under challenging lighting conditions.</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When text spacing settings are applied, all X-axis labels should remain fully visible, readable, and properly spaced without overlapping or truncation. The chart should adapt its layout to accommodate the modified text presentation while ensuring that all information remains accessible and understandable.</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When search results are updated, screen readers should automatically announce relevant result information, such as the number of results returned or changes to the results list. This ensures that users of assistive technologies receive timely feedback and can effectively understand and interact with the search results.</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