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Publisher Onboarding Hub</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Onboarding Hub is the central platform to sign up for new creators and developers to join our Xbox programs (ID@Xbox, ID@Azure, etc.)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Some non-text content may lack descriptive text alternatives, which provide equivalent information for users relying on assistive technology.  
- Decorative or formatting elements are designed to be ignored by assistive tools, ensuring a clear and meaningful user experience.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structure, and relationships may not be fully conveyed through programmatic means or text, which could affect how assistive technologies interpret content.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generally follows the visual layout and intended operation of the interface to support intuitive navigation.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Input fields include labels and instructions to guide users on required information and data formats.  
- Some areas may benefit from clearer guidance to help users avoid input errors.</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User interface components provide programmatically accessible names and roles.
- States, properties, and values can be set and updated in a way that assistive technologies can detect.
- Functionality and navigation of content and interface elements are designed to be operable through assistive tools.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elements generally maintain sufficient contrast against their backgrounds to support readability.
- Some large-scale text and certain user interface components may have contrast levels that vary but remain visually clear.
- Decorative text and branding elements are designed without contrast requirements to preserve their intended appearance.</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avoid requiring both vertical and horizontal scrolling simultaneously, supporting ease of navigation.
- Two-dimensional scrolling is provided only where necessary for understanding complex layouts such as maps, diagrams, or data tables.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Visual indicators for user interface components and graphical objects generally maintain sufficient contrast with adjacent colors to support clear identification of states and boundaries.
- Some elements may benefit from enhanced contrast to further improve visibility and ease of recognition.</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The content supports user adjustments to line height, paragraph spacing, letter spacing, and word spacing without loss of information or functionality.  
- Users can customize text spacing to improve readability according to their preferences or local writing system conventions.</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users can identify which element has focus through visible indicators, though in some areas these indicators could be enhanced for better clarity.</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