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AAD Application Proxy</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Active Directory's Application Proxy provides secure remote access to on-premises web applications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Screen reader does not announce 'Opens in a new tab' information for 'Learn More' Link on 'Create Connector Group blade'.</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Unnecessary heading is defined for 'By downloading the connector, you accept our 'Terms of Service' text.</w:t>
            </w:r>
            <w:r>
              <w:rPr>
                <w:rFonts w:cs="Segoe UI"/>
              </w:rPr>
              <w:br/>
            </w:r>
            <w:r>
              <w:rPr>
                <w:rFonts w:cs="Segoe UI"/>
              </w:rPr>
              <w:t>Navigation landmark is not defined for left navigation menu items under Private Network connectors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Buttons in the Groups Column of Connector Table are not actionable with Keyboard Enter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After applying Azure dark theme the luminosity ratio of focus boundary on 'Learn more' link is 2.847:1 which does not meet the required ratio of 3:1</w:t>
            </w:r>
            <w:r>
              <w:rPr>
                <w:rFonts w:cs="Segoe UI"/>
              </w:rPr>
              <w:br/>
            </w:r>
            <w:r>
              <w:rPr>
                <w:rFonts w:cs="Segoe UI"/>
              </w:rPr>
              <w:t>After applying Azure dark theme the luminosity ratio for 'Expand/collapse' button with respect to background is 1.118:1 which does not meet the required ratio of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