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CycleCloud</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Azure CycleCloud 8.7</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 management application and utilities that allow for the definition, orchestration, operation, and optimization of HPC and other clusters in Microsoft Azure.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Screen readers do not announce the complete visual label information associated with the control. As a result, users who rely on screen readers may not receive sufficient context to understand the checkbox's purpose and functionality. This creates an accessibility gap between the information available visually and the information conveyed through assistive technologies.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Some text labels are not programmatically associated with their respective checkbox controls. As a result, assistive technologies may not correctly identify these texts as labels for the corresponding checkboxes, making it difficult for users who rely on screen readers to understand the purpose of the controls.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When the page is viewed at 200% zoom, some tables are not fully visible and are difficult to access. Portions of the table content may be clipped, overlap, or extend beyond the visible viewport, requiring excessive scrolling or preventing users from viewing all information. This impacts users with low vision who rely on browser zoom to access content.</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When the application is viewed in a 320 × 256 pixel viewport, content and user interface elements do not adapt appropriately to the reduced screen size. Users may encounter issues such as truncated content, improperly aligned controls, partially visible tables or menu items, and the appearance of unnecessary horizontal scrolling. These issues can make it difficult for users to access, perceive, and interact with all available information and functionality, particularly on small screens or when content is significantly magnified.</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Screen readers do not announce the descriptive error information associated with the field. As a result, users who rely on assistive technologies may not be made aware of the validation error or understand the corrective action required to successfully complete the form.</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