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(FullCLR) PowerShell &amp; DSC</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version of PowerShell, DSC, and ISE that ships in the Windows client and server products.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17763.316</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039D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039D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039D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039D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039D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4C33ED4F" w14:textId="77777777" w:rsidR="00D66A4B" w:rsidRDefault="00DC03E4" w:rsidP="00DC03E4">
            <w:r>
              <w:t xml:space="preserve">On long tabular output, Narrator reads the column headings only once, so it can be difficult to remember what data is being presented as each row of the table is read. </w:t>
            </w:r>
          </w:p>
          <w:p w14:paraId="1DA3AC16" w14:textId="5FA4B155" w:rsidR="00DC03E4" w:rsidRPr="00780DAA" w:rsidRDefault="00DC03E4" w:rsidP="00DC03E4">
            <w:pPr>
              <w:rPr>
                <w:rFonts w:cs="Segoe UI"/>
              </w:rPr>
            </w:pPr>
            <w:bookmarkStart w:id="5" w:name="_GoBack"/>
            <w:bookmarkEnd w:id="5"/>
            <w:r>
              <w:br/>
              <w:t xml:space="preserve">NVDA reads the command twice in the editor. </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39D0"/>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66A4B"/>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5BEA40-AF01-454E-BA31-0A65134AA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3122</Words>
  <Characters>17797</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2019-04-14T01:04:00Z</dcterms:created>
  <dcterms:modified xsi:type="dcterms:W3CDTF">2019-04-14T01:04:00Z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