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54CCCC95">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Asset Legacy Components</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May 30, 2025</w:t>
      </w:r>
    </w:p>
    <w:p w14:paraId="6ABAF267" w14:textId="6B02706F"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 xml:space="preserve">The VL Online Service Activation portal gives the customer the ability to manage the </w:t>
      </w:r>
      <w:r w:rsidR="00A32B30">
        <w:rPr>
          <w:rFonts w:eastAsia="Times New Roman" w:cs="Segoe UI"/>
        </w:rPr>
        <w:t>activation of</w:t>
      </w:r>
      <w:r>
        <w:rPr>
          <w:rFonts w:eastAsia="Times New Roman" w:cs="Segoe UI"/>
        </w:rPr>
        <w:t xml:space="preserve"> their purchased online service licenses.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19F4"/>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9D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2B30"/>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945"/>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54CB20-578B-47EB-A774-E5D90E9298E3}">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2509</Words>
  <Characters>14302</Characters>
  <Application>Microsoft Office Word</Application>
  <DocSecurity>8</DocSecurity>
  <Lines>119</Lines>
  <Paragraphs>33</Paragraphs>
  <ScaleCrop>false</ScaleCrop>
  <Company/>
  <LinksUpToDate>false</LinksUpToDate>
  <CharactersWithSpaces>16778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2025-05-30T16:25:00Z</dcterms:created>
  <dcterms:modified xsi:type="dcterms:W3CDTF">2025-05-30T16:25:00Z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