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IAM - Users and Tenants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Blades and Views in the Azure AD Portal that provide customers the ability to manage their users, tenants and organizations.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not align with the meaning or flow of the UI elements.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names of user interface components may not always contain the text presented visually.</w:t>
            </w:r>
            <w:r>
              <w:rPr>
                <w:rFonts w:cs="Segoe UI"/>
              </w:rPr>
              <w:br/>
            </w:r>
            <w:r>
              <w:rPr>
                <w:rFonts w:cs="Segoe UI"/>
              </w:rPr>
              <w:t>- Best practice of having label text at the start of the name may not be consistently followed.</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Some text elements may not meet the minimum contrast ratio of 4.5:1 against the background, potentially impacting readability for users with low vision.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Some user interface components may lack sufficient contrast to indicate states like selection or focus.</w:t>
            </w:r>
            <w:r>
              <w:rPr>
                <w:rFonts w:cs="Segoe UI"/>
              </w:rPr>
              <w:br/>
            </w:r>
            <w:r>
              <w:rPr>
                <w:rFonts w:cs="Segoe UI"/>
              </w:rPr>
              <w:t>Graphical objects essential for content comprehension may not meet the required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may not be clearly visible on various elements such as list items, toggle buttons, table rows, and menu items.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