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Container Registry</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Container Registry allows you to build, store, and manage container images and artifacts in a private registry for all types of container deployments.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text elements, such as headings, may not be programmatically identified as such in certain sections.
- Warning messages within dialogs are available but may not always be announced by screen readers.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Some controls, like the color picker, may need extra steps beyond Enter or Space to activate using the keyboard.  
- Tooltips may not display automatically when keyboard focus moves to certain buttons such as the Generate button.</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The focus order during keyboard navigation on the Manifest tab may not follow a logical sequence aligned with the interface’s meaning or visual flow.</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All toggle fields within the Create Replication pane have accessible names to support programmatic identification and interaction.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When content is viewed at a small viewport size with reflow enabled, the focus indicator may not consistently return to the activated "Add" button, helping users keep track of their current position.</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Keyboard focus is supported throughout the product, helping users identify the active element.
- On the Response tab, the header labeled "Code section" may not have a clearly visible focus indicator.</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