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Office Apps</w:t>
      </w:r>
      <w:r w:rsidRPr="0036636B">
        <w:rPr>
          <w:rFonts w:eastAsia="Segoe UI" w:cs="Segoe UI"/>
        </w:rPr>
        <w:t xml:space="preserve"> / </w:t>
      </w:r>
      <w:proofErr w:type="spellStart"/>
      <w:proofErr w:type="gramEnd"/>
      <w:proofErr w:type="spellEnd"/>
      <w:r>
        <w:rPr>
          <w:rFonts w:eastAsia="Segoe UI" w:cs="Segoe UI"/>
        </w:rPr>
        <w:t>7.1.25150.01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Microsoft Dynamics Office Add-in enables data connections between Dynamics 365 systems and Excel and Word.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Some user interface components may not fully communicate their names, roles, or state changes to assistive technologies, which could affect the ease of navigation and interaction for users relying on these tools.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In some areas, content requires scrolling to view entire data result.</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Some user interface components (e.g. Confirm changes error icon) and graphical elements may have visual indicators with contrast ratios below the recommended level against adjacent colors, which could affect their visibility.</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r>
              <w:rPr>
                <w:rFonts w:cs="Segoe UI"/>
              </w:rPr>
              <w:t>Some interactive elements may have smaller clickable areas than recommended, which could affect ease of use for pointer devices.</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r>
              <w:rPr>
                <w:rFonts w:cs="Segoe UI"/>
              </w:rPr>
              <w:t>Some content may not have the language properly identified for user agents, which can affect how text in different languages is presented.</w:t>
            </w: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