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711B4D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4943EB94"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Designed for Surface</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January 14,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This Application provides information about purchase of certified third-party Surface Accessories.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r>
              <w:rPr>
                <w:rFonts w:cs="Segoe UI"/>
              </w:rPr>
              <w:t xml:space="preserve">Text transcript / Audio track is not available for the pre-recorded video </w:t>
            </w:r>
            <w:proofErr w:type="gramStart"/>
            <w:r>
              <w:rPr>
                <w:rFonts w:cs="Segoe UI"/>
              </w:rPr>
              <w:t>in</w:t>
            </w:r>
            <w:proofErr w:type="gramEnd"/>
            <w:r>
              <w:rPr>
                <w:rFonts w:cs="Segoe UI"/>
              </w:rPr>
              <w:t xml:space="preserve"> the ViewSonic monitors page.</w:t>
            </w: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52EA"/>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3687"/>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DB0"/>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7E8"/>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1CE890-6423-4E06-B1D0-2850B714C66B}">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2513</Words>
  <Characters>14329</Characters>
  <Application>Microsoft Office Word</Application>
  <DocSecurity>8</DocSecurity>
  <Lines>119</Lines>
  <Paragraphs>33</Paragraphs>
  <ScaleCrop>false</ScaleCrop>
  <Company/>
  <LinksUpToDate>false</LinksUpToDate>
  <CharactersWithSpaces>16809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2025-01-14T17:21:00Z</dcterms:created>
  <dcterms:modified xsi:type="dcterms:W3CDTF">2025-01-14T17:21:00Z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