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677B5AB">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proofErr w:type="spellStart"/>
      <w:r>
        <w:rPr>
          <w:rFonts w:ascii="Segoe UI" w:eastAsia="Segoe UI" w:hAnsi="Segoe UI" w:cs="Segoe UI"/>
        </w:rPr>
        <w:t>Webview</w:t>
      </w:r>
      <w:proofErr w:type="spellEnd"/>
      <w:r>
        <w:rPr>
          <w:rFonts w:ascii="Segoe UI" w:eastAsia="Segoe UI" w:hAnsi="Segoe UI" w:cs="Segoe UI"/>
        </w:rPr>
        <w:t xml:space="preserve"> UI Toolkit for Visual Studio Code</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Visual Studio Code</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January 18, 2024</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 xml:space="preserve">A component library for building </w:t>
      </w:r>
      <w:proofErr w:type="spellStart"/>
      <w:r>
        <w:rPr>
          <w:rFonts w:ascii="Segoe UI" w:eastAsia="Times New Roman" w:hAnsi="Segoe UI" w:cs="Segoe UI"/>
        </w:rPr>
        <w:t>webview</w:t>
      </w:r>
      <w:proofErr w:type="spellEnd"/>
      <w:r>
        <w:rPr>
          <w:rFonts w:ascii="Segoe UI" w:eastAsia="Times New Roman" w:hAnsi="Segoe UI" w:cs="Segoe UI"/>
        </w:rPr>
        <w:t>-based extension UIs in Visual Studio Code.</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AB632E"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AB632E"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B632E"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AB632E"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AB632E"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B632E"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B632E"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B632E"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B632E"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B632E"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B632E"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B632E"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B632E"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AB632E"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AB632E"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AB632E"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AB632E"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AB632E"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AB632E"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AB632E"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AB632E"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AB632E"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AB632E"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AB632E"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AB632E"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AB632E"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AB632E"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AB632E"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AB632E"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AB632E"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AB632E"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AB632E"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AB632E"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AB632E"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AB632E"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AB632E"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AB632E"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AB632E"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AB632E"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AB632E"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AB632E"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AB632E"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AB632E"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AB632E"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AB632E"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AB632E"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AB632E"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AB632E"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AB632E"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AB632E"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AB632E"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AB632E"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AB632E"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AB632E"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AB632E"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AB632E"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AB632E"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AB632E"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AB632E"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AB632E"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AB632E"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AB632E"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AB632E"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AB632E"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AB632E"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B632E"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AB632E"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AB632E"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AB632E"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AB632E"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AB632E"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AB632E"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AB632E"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AB632E"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AB632E"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AB632E"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AB632E"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AB632E"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AB632E"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AB632E"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w:t>
      </w:r>
      <w:proofErr w:type="spellStart"/>
      <w:r w:rsidR="00CB65A3" w:rsidRPr="0036636B">
        <w:rPr>
          <w:rFonts w:ascii="Segoe UI" w:hAnsi="Segoe UI" w:cs="Segoe UI"/>
          <w:sz w:val="20"/>
          <w:szCs w:val="20"/>
        </w:rPr>
        <w:t>Beihang</w:t>
      </w:r>
      <w:proofErr w:type="spellEnd"/>
      <w:r w:rsidR="00CB65A3" w:rsidRPr="0036636B">
        <w:rPr>
          <w:rFonts w:ascii="Segoe UI" w:hAnsi="Segoe UI" w:cs="Segoe UI"/>
          <w:sz w:val="20"/>
          <w:szCs w:val="20"/>
        </w:rPr>
        <w:t xml:space="preserve">). This document is not the Web Content Accessibility Guidelines (WCAG) and should not be used as a substitute for it. Excerpts of WCAG are referenced solely for </w:t>
      </w:r>
      <w:proofErr w:type="gramStart"/>
      <w:r w:rsidR="00CB65A3" w:rsidRPr="0036636B">
        <w:rPr>
          <w:rFonts w:ascii="Segoe UI" w:hAnsi="Segoe UI" w:cs="Segoe UI"/>
          <w:sz w:val="20"/>
          <w:szCs w:val="20"/>
        </w:rPr>
        <w:t>purposes</w:t>
      </w:r>
      <w:proofErr w:type="gramEnd"/>
      <w:r w:rsidR="00CB65A3" w:rsidRPr="0036636B">
        <w:rPr>
          <w:rFonts w:ascii="Segoe UI" w:hAnsi="Segoe UI" w:cs="Segoe UI"/>
          <w:sz w:val="20"/>
          <w:szCs w:val="20"/>
        </w:rPr>
        <w:t xml:space="preserve">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w:t>
      </w:r>
      <w:proofErr w:type="gramStart"/>
      <w:r w:rsidRPr="0036636B">
        <w:rPr>
          <w:rFonts w:ascii="Segoe UI" w:hAnsi="Segoe UI" w:cs="Segoe UI"/>
          <w:sz w:val="20"/>
          <w:szCs w:val="20"/>
        </w:rPr>
        <w:t>voids</w:t>
      </w:r>
      <w:proofErr w:type="gramEnd"/>
      <w:r w:rsidRPr="0036636B">
        <w:rPr>
          <w:rFonts w:ascii="Segoe UI" w:hAnsi="Segoe UI" w:cs="Segoe UI"/>
          <w:sz w:val="20"/>
          <w:szCs w:val="20"/>
        </w:rPr>
        <w:t xml:space="preserve">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632E"/>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2310</Words>
  <Characters>13173</Characters>
  <Application>Microsoft Office Word</Application>
  <DocSecurity>8</DocSecurity>
  <Lines>109</Lines>
  <Paragraphs>30</Paragraphs>
  <ScaleCrop>false</ScaleCrop>
  <Company/>
  <LinksUpToDate>false</LinksUpToDate>
  <CharactersWithSpaces>15453</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2024-01-19T19:24:00Z</dcterms:created>
  <dcterms:modified xsi:type="dcterms:W3CDTF">2024-01-19T19:24:00Z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