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CDN Management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CDN sends audio, video, applications, images, and other files faster and more reliably to customers by using the servers that are closest to each user. This dramatically increases speed and availability. Thanks to its distributed global scale, Azure CDN can handle sudden traffic spikes and heavy loads without new infrastructure costs or capacity worries. Azure CDN is built on a highly scalable, reverse-proxy architecture with sophisticated DDoS identification and mitigation technologies.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Section headings or group labels are not programmatically associated with their related controls/content. As a result, screen readers do not announce the section context when users navigate buttons, radio buttons, or list items, making it difficult to understand the relationship between elements.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Not able to navigate to forward controls when check box is checked under 'Purge cache' pane.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focus order is not logical after expanding or opening new content. Focus does not move to the newly displayed content and may remain on the triggering control or move to unrelated/background elements, making it difficult for keyboard users to access and navigate the expanded content efficiently.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At 400% zoom (320 × 256 CSS pixels), the content reflows incorrectly. The condition labels (e.g., IF, AND IF, Request Cookies, Request Body) are displayed separately from their associated input controls, making the related information inaccessible together on the screen.</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Error messages and suggestions are unclear, inaccurate, or not descriptive enough to help users understand and resolve the issue. Ensure that validation messages clearly identify the problem and provide meaningful guidance for corrective action.</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System-generated status, error, or warning messages are not programmatically announced by screen readers when triggered by user actions. As a result, users relying on assistive technologies may not be aware of important feedback, errors, or warnings displayed on the page. Ensure that dynamic messages are communicated to screen readers using appropriate accessibility mechanisms (for example, ARIA live regions or alert roles).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